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5D5" w:rsidRPr="00775F0C" w:rsidRDefault="003915D5" w:rsidP="004F4C46">
      <w:pPr>
        <w:pStyle w:val="Legenda"/>
      </w:pPr>
      <w:r w:rsidRPr="00775F0C">
        <w:t xml:space="preserve">Tabela </w:t>
      </w:r>
      <w:r w:rsidR="00F779B3">
        <w:fldChar w:fldCharType="begin"/>
      </w:r>
      <w:r w:rsidR="00F779B3">
        <w:instrText xml:space="preserve"> SEQ Tabela \* ARABIC </w:instrText>
      </w:r>
      <w:r w:rsidR="00F779B3">
        <w:fldChar w:fldCharType="separate"/>
      </w:r>
      <w:r w:rsidR="00775F0C" w:rsidRPr="00775F0C">
        <w:rPr>
          <w:noProof/>
        </w:rPr>
        <w:t>1</w:t>
      </w:r>
      <w:r w:rsidR="00F779B3">
        <w:rPr>
          <w:noProof/>
        </w:rPr>
        <w:fldChar w:fldCharType="end"/>
      </w:r>
      <w:r w:rsidRPr="00775F0C">
        <w:t xml:space="preserve"> Elementy podlegające monitoringowi</w:t>
      </w:r>
    </w:p>
    <w:tbl>
      <w:tblPr>
        <w:tblStyle w:val="Tabela-Siatka"/>
        <w:tblW w:w="15304" w:type="dxa"/>
        <w:jc w:val="center"/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3969"/>
        <w:gridCol w:w="1559"/>
        <w:gridCol w:w="5953"/>
      </w:tblGrid>
      <w:tr w:rsidR="003915D5" w:rsidRPr="00775F0C" w:rsidTr="007E1AC1">
        <w:trPr>
          <w:trHeight w:val="824"/>
          <w:jc w:val="center"/>
        </w:trPr>
        <w:tc>
          <w:tcPr>
            <w:tcW w:w="2405" w:type="dxa"/>
            <w:shd w:val="clear" w:color="auto" w:fill="E5B8B7" w:themeFill="accent2" w:themeFillTint="66"/>
            <w:vAlign w:val="center"/>
          </w:tcPr>
          <w:p w:rsidR="003915D5" w:rsidRPr="00775F0C" w:rsidRDefault="003915D5" w:rsidP="00F46890">
            <w:pPr>
              <w:spacing w:after="40" w:line="240" w:lineRule="auto"/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775F0C">
              <w:rPr>
                <w:rFonts w:cs="Times New Roman"/>
                <w:b/>
                <w:sz w:val="21"/>
                <w:szCs w:val="21"/>
              </w:rPr>
              <w:t>Elementy poddane badaniu</w:t>
            </w:r>
          </w:p>
        </w:tc>
        <w:tc>
          <w:tcPr>
            <w:tcW w:w="1418" w:type="dxa"/>
            <w:shd w:val="clear" w:color="auto" w:fill="E5B8B7" w:themeFill="accent2" w:themeFillTint="66"/>
            <w:vAlign w:val="center"/>
          </w:tcPr>
          <w:p w:rsidR="003915D5" w:rsidRPr="00775F0C" w:rsidRDefault="003915D5" w:rsidP="00F46890">
            <w:pPr>
              <w:spacing w:after="40" w:line="240" w:lineRule="auto"/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775F0C">
              <w:rPr>
                <w:rFonts w:cs="Times New Roman"/>
                <w:b/>
                <w:sz w:val="21"/>
                <w:szCs w:val="21"/>
              </w:rPr>
              <w:t>Wykonawca badania</w:t>
            </w:r>
          </w:p>
        </w:tc>
        <w:tc>
          <w:tcPr>
            <w:tcW w:w="3969" w:type="dxa"/>
            <w:shd w:val="clear" w:color="auto" w:fill="E5B8B7" w:themeFill="accent2" w:themeFillTint="66"/>
            <w:vAlign w:val="center"/>
          </w:tcPr>
          <w:p w:rsidR="003915D5" w:rsidRPr="00775F0C" w:rsidRDefault="003915D5" w:rsidP="00F46890">
            <w:pPr>
              <w:spacing w:after="40" w:line="240" w:lineRule="auto"/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775F0C">
              <w:rPr>
                <w:rFonts w:cs="Times New Roman"/>
                <w:b/>
                <w:sz w:val="21"/>
                <w:szCs w:val="21"/>
              </w:rPr>
              <w:t xml:space="preserve">Źródła danych </w:t>
            </w:r>
            <w:r w:rsidRPr="00775F0C">
              <w:rPr>
                <w:rFonts w:cs="Times New Roman"/>
                <w:b/>
                <w:sz w:val="21"/>
                <w:szCs w:val="21"/>
              </w:rPr>
              <w:br/>
              <w:t>i metody ich zbierania</w:t>
            </w:r>
          </w:p>
        </w:tc>
        <w:tc>
          <w:tcPr>
            <w:tcW w:w="1559" w:type="dxa"/>
            <w:shd w:val="clear" w:color="auto" w:fill="E5B8B7" w:themeFill="accent2" w:themeFillTint="66"/>
            <w:vAlign w:val="center"/>
          </w:tcPr>
          <w:p w:rsidR="003915D5" w:rsidRPr="00775F0C" w:rsidRDefault="003915D5" w:rsidP="00F46890">
            <w:pPr>
              <w:spacing w:after="40" w:line="240" w:lineRule="auto"/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775F0C">
              <w:rPr>
                <w:rFonts w:cs="Times New Roman"/>
                <w:b/>
                <w:sz w:val="21"/>
                <w:szCs w:val="21"/>
              </w:rPr>
              <w:t>Czas i okres dokonywania pomiaru</w:t>
            </w:r>
          </w:p>
        </w:tc>
        <w:tc>
          <w:tcPr>
            <w:tcW w:w="5953" w:type="dxa"/>
            <w:shd w:val="clear" w:color="auto" w:fill="E5B8B7" w:themeFill="accent2" w:themeFillTint="66"/>
            <w:vAlign w:val="center"/>
          </w:tcPr>
          <w:p w:rsidR="003915D5" w:rsidRPr="00775F0C" w:rsidRDefault="003915D5" w:rsidP="00F46890">
            <w:pPr>
              <w:spacing w:after="40" w:line="240" w:lineRule="auto"/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775F0C">
              <w:rPr>
                <w:rFonts w:cs="Times New Roman"/>
                <w:b/>
                <w:sz w:val="21"/>
                <w:szCs w:val="21"/>
              </w:rPr>
              <w:t>Analiza i ocena danych</w:t>
            </w:r>
          </w:p>
        </w:tc>
      </w:tr>
      <w:tr w:rsidR="00AB2C6A" w:rsidRPr="00775F0C" w:rsidTr="007E1AC1">
        <w:trPr>
          <w:trHeight w:val="325"/>
          <w:jc w:val="center"/>
        </w:trPr>
        <w:tc>
          <w:tcPr>
            <w:tcW w:w="2405" w:type="dxa"/>
          </w:tcPr>
          <w:p w:rsidR="00AB2C6A" w:rsidRPr="00775F0C" w:rsidRDefault="00AB2C6A" w:rsidP="00AB2C6A">
            <w:pPr>
              <w:spacing w:after="40" w:line="240" w:lineRule="auto"/>
              <w:jc w:val="left"/>
              <w:rPr>
                <w:rFonts w:cs="Times New Roman"/>
                <w:i/>
                <w:sz w:val="21"/>
                <w:szCs w:val="21"/>
              </w:rPr>
            </w:pPr>
            <w:r w:rsidRPr="00775F0C">
              <w:rPr>
                <w:rFonts w:cs="Times New Roman"/>
                <w:sz w:val="21"/>
                <w:szCs w:val="21"/>
              </w:rPr>
              <w:t>Wskaźniki realizacji LSR.</w:t>
            </w:r>
          </w:p>
        </w:tc>
        <w:tc>
          <w:tcPr>
            <w:tcW w:w="1418" w:type="dxa"/>
          </w:tcPr>
          <w:p w:rsidR="00AB2C6A" w:rsidRDefault="00AB2C6A" w:rsidP="00AB2C6A">
            <w:r w:rsidRPr="00400C80">
              <w:rPr>
                <w:rFonts w:cs="Times New Roman"/>
                <w:sz w:val="21"/>
                <w:szCs w:val="21"/>
              </w:rPr>
              <w:t>Zarząd LGD.</w:t>
            </w:r>
          </w:p>
        </w:tc>
        <w:tc>
          <w:tcPr>
            <w:tcW w:w="3969" w:type="dxa"/>
          </w:tcPr>
          <w:p w:rsidR="00AB2C6A" w:rsidRPr="00775F0C" w:rsidRDefault="00AB2C6A" w:rsidP="00AB2C6A">
            <w:pPr>
              <w:spacing w:after="40" w:line="240" w:lineRule="auto"/>
              <w:jc w:val="left"/>
              <w:rPr>
                <w:rFonts w:cs="Times New Roman"/>
                <w:i/>
                <w:sz w:val="21"/>
                <w:szCs w:val="21"/>
              </w:rPr>
            </w:pPr>
            <w:r w:rsidRPr="00775F0C">
              <w:rPr>
                <w:rFonts w:cs="Times New Roman"/>
                <w:sz w:val="21"/>
                <w:szCs w:val="21"/>
              </w:rPr>
              <w:t>Sprawozdania beneficjentów, ankiety beneficjentów, rejestr danych LGD.</w:t>
            </w:r>
          </w:p>
        </w:tc>
        <w:tc>
          <w:tcPr>
            <w:tcW w:w="1559" w:type="dxa"/>
          </w:tcPr>
          <w:p w:rsidR="00AB2C6A" w:rsidRPr="00775F0C" w:rsidRDefault="00AB2C6A" w:rsidP="00AB2C6A">
            <w:pPr>
              <w:spacing w:after="40" w:line="240" w:lineRule="auto"/>
              <w:jc w:val="center"/>
              <w:rPr>
                <w:rFonts w:cs="Times New Roman"/>
                <w:i/>
                <w:sz w:val="21"/>
                <w:szCs w:val="21"/>
              </w:rPr>
            </w:pPr>
            <w:r w:rsidRPr="00775F0C">
              <w:rPr>
                <w:rFonts w:cs="Times New Roman"/>
                <w:sz w:val="21"/>
                <w:szCs w:val="21"/>
              </w:rPr>
              <w:t>Na bieżąco</w:t>
            </w:r>
          </w:p>
        </w:tc>
        <w:tc>
          <w:tcPr>
            <w:tcW w:w="5953" w:type="dxa"/>
          </w:tcPr>
          <w:p w:rsidR="00AB2C6A" w:rsidRPr="00775F0C" w:rsidRDefault="00AB2C6A" w:rsidP="00AB2C6A">
            <w:pPr>
              <w:spacing w:after="40" w:line="240" w:lineRule="auto"/>
              <w:jc w:val="left"/>
              <w:rPr>
                <w:rFonts w:cs="Times New Roman"/>
                <w:i/>
                <w:sz w:val="21"/>
                <w:szCs w:val="21"/>
              </w:rPr>
            </w:pPr>
            <w:r w:rsidRPr="00775F0C">
              <w:rPr>
                <w:rFonts w:cs="Times New Roman"/>
                <w:sz w:val="21"/>
                <w:szCs w:val="21"/>
              </w:rPr>
              <w:t>Stopień realizacji wskaźnika.</w:t>
            </w:r>
          </w:p>
        </w:tc>
      </w:tr>
      <w:tr w:rsidR="00AB2C6A" w:rsidRPr="00775F0C" w:rsidTr="007E1AC1">
        <w:trPr>
          <w:trHeight w:val="450"/>
          <w:jc w:val="center"/>
        </w:trPr>
        <w:tc>
          <w:tcPr>
            <w:tcW w:w="2405" w:type="dxa"/>
          </w:tcPr>
          <w:p w:rsidR="00AB2C6A" w:rsidRPr="00775F0C" w:rsidRDefault="00AB2C6A" w:rsidP="00AB2C6A">
            <w:pPr>
              <w:spacing w:after="40" w:line="240" w:lineRule="auto"/>
              <w:jc w:val="left"/>
              <w:rPr>
                <w:rFonts w:cs="Times New Roman"/>
                <w:i/>
                <w:sz w:val="21"/>
                <w:szCs w:val="21"/>
              </w:rPr>
            </w:pPr>
            <w:r w:rsidRPr="00775F0C">
              <w:rPr>
                <w:rFonts w:cs="Times New Roman"/>
                <w:sz w:val="21"/>
                <w:szCs w:val="21"/>
              </w:rPr>
              <w:t>Harmonogram ogłaszanych konkursów.</w:t>
            </w:r>
          </w:p>
        </w:tc>
        <w:tc>
          <w:tcPr>
            <w:tcW w:w="1418" w:type="dxa"/>
          </w:tcPr>
          <w:p w:rsidR="00AB2C6A" w:rsidRDefault="00AB2C6A" w:rsidP="00AB2C6A">
            <w:r w:rsidRPr="00400C80">
              <w:rPr>
                <w:rFonts w:cs="Times New Roman"/>
                <w:sz w:val="21"/>
                <w:szCs w:val="21"/>
              </w:rPr>
              <w:t>Zarząd LGD.</w:t>
            </w:r>
          </w:p>
        </w:tc>
        <w:tc>
          <w:tcPr>
            <w:tcW w:w="3969" w:type="dxa"/>
          </w:tcPr>
          <w:p w:rsidR="00AB2C6A" w:rsidRPr="00775F0C" w:rsidRDefault="00AB2C6A" w:rsidP="00AB2C6A">
            <w:pPr>
              <w:spacing w:after="40" w:line="240" w:lineRule="auto"/>
              <w:jc w:val="left"/>
              <w:rPr>
                <w:rFonts w:cs="Times New Roman"/>
                <w:i/>
                <w:sz w:val="21"/>
                <w:szCs w:val="21"/>
              </w:rPr>
            </w:pPr>
            <w:r w:rsidRPr="00775F0C">
              <w:rPr>
                <w:rFonts w:cs="Times New Roman"/>
                <w:sz w:val="21"/>
                <w:szCs w:val="21"/>
              </w:rPr>
              <w:t>Rejestr ogłoszonych konkursów.</w:t>
            </w:r>
          </w:p>
        </w:tc>
        <w:tc>
          <w:tcPr>
            <w:tcW w:w="1559" w:type="dxa"/>
          </w:tcPr>
          <w:p w:rsidR="00AB2C6A" w:rsidRPr="00775F0C" w:rsidRDefault="00AB2C6A" w:rsidP="00AB2C6A">
            <w:pPr>
              <w:spacing w:after="40" w:line="240" w:lineRule="auto"/>
              <w:jc w:val="center"/>
              <w:rPr>
                <w:rFonts w:cs="Times New Roman"/>
                <w:i/>
                <w:sz w:val="21"/>
                <w:szCs w:val="21"/>
              </w:rPr>
            </w:pPr>
            <w:r w:rsidRPr="00775F0C">
              <w:rPr>
                <w:rFonts w:cs="Times New Roman"/>
                <w:sz w:val="21"/>
                <w:szCs w:val="21"/>
              </w:rPr>
              <w:t>Na bieżąco</w:t>
            </w:r>
          </w:p>
        </w:tc>
        <w:tc>
          <w:tcPr>
            <w:tcW w:w="5953" w:type="dxa"/>
          </w:tcPr>
          <w:p w:rsidR="00AB2C6A" w:rsidRPr="00775F0C" w:rsidRDefault="00AB2C6A" w:rsidP="00AB2C6A">
            <w:pPr>
              <w:spacing w:after="40" w:line="240" w:lineRule="auto"/>
              <w:jc w:val="left"/>
              <w:rPr>
                <w:rFonts w:cs="Times New Roman"/>
                <w:i/>
                <w:sz w:val="21"/>
                <w:szCs w:val="21"/>
              </w:rPr>
            </w:pPr>
            <w:r w:rsidRPr="00775F0C">
              <w:rPr>
                <w:rFonts w:cs="Times New Roman"/>
                <w:sz w:val="21"/>
                <w:szCs w:val="21"/>
              </w:rPr>
              <w:t>Zgodność ogłaszania konkursów z harmonogramem konkursów LSR, ocena stopnia realizacji zadań wdrażanych w ramach LSR.</w:t>
            </w:r>
          </w:p>
        </w:tc>
      </w:tr>
      <w:tr w:rsidR="00AB2C6A" w:rsidRPr="00775F0C" w:rsidTr="007E1AC1">
        <w:trPr>
          <w:trHeight w:val="397"/>
          <w:jc w:val="center"/>
        </w:trPr>
        <w:tc>
          <w:tcPr>
            <w:tcW w:w="2405" w:type="dxa"/>
          </w:tcPr>
          <w:p w:rsidR="00AB2C6A" w:rsidRPr="00775F0C" w:rsidRDefault="00AB2C6A" w:rsidP="00AB2C6A">
            <w:pPr>
              <w:spacing w:after="40" w:line="240" w:lineRule="auto"/>
              <w:jc w:val="left"/>
              <w:rPr>
                <w:rFonts w:cs="Times New Roman"/>
                <w:i/>
                <w:sz w:val="21"/>
                <w:szCs w:val="21"/>
              </w:rPr>
            </w:pPr>
            <w:r w:rsidRPr="00775F0C">
              <w:rPr>
                <w:rFonts w:cs="Times New Roman"/>
                <w:sz w:val="21"/>
                <w:szCs w:val="21"/>
              </w:rPr>
              <w:t>Budżet LGD.</w:t>
            </w:r>
          </w:p>
        </w:tc>
        <w:tc>
          <w:tcPr>
            <w:tcW w:w="1418" w:type="dxa"/>
          </w:tcPr>
          <w:p w:rsidR="00AB2C6A" w:rsidRDefault="00AB2C6A" w:rsidP="00AB2C6A">
            <w:r w:rsidRPr="00400C80">
              <w:rPr>
                <w:rFonts w:cs="Times New Roman"/>
                <w:sz w:val="21"/>
                <w:szCs w:val="21"/>
              </w:rPr>
              <w:t>Zarząd LGD.</w:t>
            </w:r>
          </w:p>
        </w:tc>
        <w:tc>
          <w:tcPr>
            <w:tcW w:w="3969" w:type="dxa"/>
          </w:tcPr>
          <w:p w:rsidR="00AB2C6A" w:rsidRPr="00775F0C" w:rsidRDefault="00AB2C6A" w:rsidP="00AB2C6A">
            <w:pPr>
              <w:spacing w:after="40" w:line="240" w:lineRule="auto"/>
              <w:jc w:val="left"/>
              <w:rPr>
                <w:rFonts w:cs="Times New Roman"/>
                <w:i/>
                <w:sz w:val="21"/>
                <w:szCs w:val="21"/>
              </w:rPr>
            </w:pPr>
            <w:r w:rsidRPr="00775F0C">
              <w:rPr>
                <w:rFonts w:cs="Times New Roman"/>
                <w:sz w:val="21"/>
                <w:szCs w:val="21"/>
              </w:rPr>
              <w:t>Rejestr danych.</w:t>
            </w:r>
          </w:p>
        </w:tc>
        <w:tc>
          <w:tcPr>
            <w:tcW w:w="1559" w:type="dxa"/>
          </w:tcPr>
          <w:p w:rsidR="00AB2C6A" w:rsidRPr="00775F0C" w:rsidRDefault="00AB2C6A" w:rsidP="00AB2C6A">
            <w:pPr>
              <w:spacing w:after="40" w:line="240" w:lineRule="auto"/>
              <w:jc w:val="center"/>
              <w:rPr>
                <w:rFonts w:cs="Times New Roman"/>
                <w:i/>
                <w:sz w:val="21"/>
                <w:szCs w:val="21"/>
              </w:rPr>
            </w:pPr>
            <w:r w:rsidRPr="00775F0C">
              <w:rPr>
                <w:rFonts w:cs="Times New Roman"/>
                <w:sz w:val="21"/>
                <w:szCs w:val="21"/>
              </w:rPr>
              <w:t>Na bieżąco</w:t>
            </w:r>
          </w:p>
        </w:tc>
        <w:tc>
          <w:tcPr>
            <w:tcW w:w="5953" w:type="dxa"/>
          </w:tcPr>
          <w:p w:rsidR="00AB2C6A" w:rsidRPr="00775F0C" w:rsidRDefault="00AB2C6A" w:rsidP="00AB2C6A">
            <w:pPr>
              <w:spacing w:after="40" w:line="240" w:lineRule="auto"/>
              <w:jc w:val="left"/>
              <w:rPr>
                <w:rFonts w:cs="Times New Roman"/>
                <w:i/>
                <w:sz w:val="21"/>
                <w:szCs w:val="21"/>
              </w:rPr>
            </w:pPr>
            <w:r w:rsidRPr="00775F0C">
              <w:rPr>
                <w:rFonts w:cs="Times New Roman"/>
                <w:sz w:val="21"/>
                <w:szCs w:val="21"/>
              </w:rPr>
              <w:t>Stopień wykorzystania środków finansowych w odniesieniu do środków zakontraktowanych.</w:t>
            </w:r>
          </w:p>
        </w:tc>
      </w:tr>
      <w:tr w:rsidR="003915D5" w:rsidRPr="00775F0C" w:rsidTr="007E1AC1">
        <w:trPr>
          <w:trHeight w:val="616"/>
          <w:jc w:val="center"/>
        </w:trPr>
        <w:tc>
          <w:tcPr>
            <w:tcW w:w="2405" w:type="dxa"/>
          </w:tcPr>
          <w:p w:rsidR="003915D5" w:rsidRPr="00775F0C" w:rsidRDefault="003915D5" w:rsidP="00F46890">
            <w:pPr>
              <w:spacing w:after="40" w:line="240" w:lineRule="auto"/>
              <w:jc w:val="left"/>
              <w:rPr>
                <w:rFonts w:cs="Times New Roman"/>
                <w:i/>
                <w:sz w:val="21"/>
                <w:szCs w:val="21"/>
              </w:rPr>
            </w:pPr>
            <w:r w:rsidRPr="00775F0C">
              <w:rPr>
                <w:rFonts w:cs="Times New Roman"/>
                <w:sz w:val="21"/>
                <w:szCs w:val="21"/>
              </w:rPr>
              <w:t>Zainteresowanie stroną internetową LGD.</w:t>
            </w:r>
          </w:p>
        </w:tc>
        <w:tc>
          <w:tcPr>
            <w:tcW w:w="1418" w:type="dxa"/>
          </w:tcPr>
          <w:p w:rsidR="003915D5" w:rsidRPr="00775F0C" w:rsidRDefault="00AB2C6A" w:rsidP="00F46890">
            <w:pPr>
              <w:spacing w:after="40" w:line="240" w:lineRule="auto"/>
              <w:jc w:val="left"/>
              <w:rPr>
                <w:rFonts w:cs="Times New Roman"/>
                <w:i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Zarząd</w:t>
            </w:r>
            <w:r w:rsidRPr="00775F0C">
              <w:rPr>
                <w:rFonts w:cs="Times New Roman"/>
                <w:sz w:val="21"/>
                <w:szCs w:val="21"/>
              </w:rPr>
              <w:t xml:space="preserve"> LG</w:t>
            </w:r>
            <w:r>
              <w:rPr>
                <w:rFonts w:cs="Times New Roman"/>
                <w:sz w:val="21"/>
                <w:szCs w:val="21"/>
              </w:rPr>
              <w:t>D</w:t>
            </w:r>
            <w:r w:rsidRPr="00775F0C">
              <w:rPr>
                <w:rFonts w:cs="Times New Roman"/>
                <w:sz w:val="21"/>
                <w:szCs w:val="21"/>
              </w:rPr>
              <w:t>.</w:t>
            </w:r>
          </w:p>
        </w:tc>
        <w:tc>
          <w:tcPr>
            <w:tcW w:w="3969" w:type="dxa"/>
          </w:tcPr>
          <w:p w:rsidR="003915D5" w:rsidRPr="00775F0C" w:rsidRDefault="003915D5" w:rsidP="00F46890">
            <w:pPr>
              <w:spacing w:after="40" w:line="240" w:lineRule="auto"/>
              <w:jc w:val="left"/>
              <w:rPr>
                <w:rFonts w:cs="Times New Roman"/>
                <w:i/>
                <w:sz w:val="21"/>
                <w:szCs w:val="21"/>
              </w:rPr>
            </w:pPr>
            <w:r w:rsidRPr="00775F0C">
              <w:rPr>
                <w:rFonts w:cs="Times New Roman"/>
                <w:sz w:val="21"/>
                <w:szCs w:val="21"/>
              </w:rPr>
              <w:t>Licznik odwiedzin strony internetowej, dane od administratora strony internetowej.</w:t>
            </w:r>
          </w:p>
        </w:tc>
        <w:tc>
          <w:tcPr>
            <w:tcW w:w="1559" w:type="dxa"/>
          </w:tcPr>
          <w:p w:rsidR="003915D5" w:rsidRPr="00775F0C" w:rsidRDefault="003915D5" w:rsidP="00F46890">
            <w:pPr>
              <w:spacing w:after="40" w:line="240" w:lineRule="auto"/>
              <w:jc w:val="center"/>
              <w:rPr>
                <w:rFonts w:cs="Times New Roman"/>
                <w:i/>
                <w:sz w:val="21"/>
                <w:szCs w:val="21"/>
              </w:rPr>
            </w:pPr>
            <w:r w:rsidRPr="00775F0C">
              <w:rPr>
                <w:rFonts w:cs="Times New Roman"/>
                <w:sz w:val="21"/>
                <w:szCs w:val="21"/>
              </w:rPr>
              <w:t>Na bieżąco</w:t>
            </w:r>
          </w:p>
        </w:tc>
        <w:tc>
          <w:tcPr>
            <w:tcW w:w="5953" w:type="dxa"/>
          </w:tcPr>
          <w:p w:rsidR="003915D5" w:rsidRPr="00775F0C" w:rsidRDefault="003915D5" w:rsidP="00F46890">
            <w:pPr>
              <w:spacing w:after="40" w:line="240" w:lineRule="auto"/>
              <w:jc w:val="left"/>
              <w:rPr>
                <w:rFonts w:cs="Times New Roman"/>
                <w:i/>
                <w:sz w:val="21"/>
                <w:szCs w:val="21"/>
              </w:rPr>
            </w:pPr>
            <w:r w:rsidRPr="00775F0C">
              <w:rPr>
                <w:rFonts w:cs="Times New Roman"/>
                <w:sz w:val="21"/>
                <w:szCs w:val="21"/>
              </w:rPr>
              <w:t>Skuteczność przekazywania/ uzyskiwania informacji na temat działalności LGD.</w:t>
            </w:r>
          </w:p>
        </w:tc>
      </w:tr>
      <w:tr w:rsidR="003915D5" w:rsidRPr="00775F0C" w:rsidTr="007E1AC1">
        <w:trPr>
          <w:trHeight w:val="728"/>
          <w:jc w:val="center"/>
        </w:trPr>
        <w:tc>
          <w:tcPr>
            <w:tcW w:w="2405" w:type="dxa"/>
          </w:tcPr>
          <w:p w:rsidR="003915D5" w:rsidRPr="00775F0C" w:rsidRDefault="003915D5" w:rsidP="00F46890">
            <w:pPr>
              <w:spacing w:after="40" w:line="240" w:lineRule="auto"/>
              <w:jc w:val="left"/>
              <w:rPr>
                <w:rFonts w:cs="Times New Roman"/>
                <w:i/>
                <w:sz w:val="21"/>
                <w:szCs w:val="21"/>
              </w:rPr>
            </w:pPr>
            <w:r w:rsidRPr="00775F0C">
              <w:rPr>
                <w:rFonts w:cs="Times New Roman"/>
                <w:sz w:val="21"/>
                <w:szCs w:val="21"/>
              </w:rPr>
              <w:t>Pracownicy Biura LGD, funkcjonowanie Biura Zarządu</w:t>
            </w:r>
            <w:r w:rsidR="00F46890">
              <w:rPr>
                <w:rFonts w:cs="Times New Roman"/>
                <w:sz w:val="21"/>
                <w:szCs w:val="21"/>
              </w:rPr>
              <w:t>.</w:t>
            </w:r>
          </w:p>
        </w:tc>
        <w:tc>
          <w:tcPr>
            <w:tcW w:w="1418" w:type="dxa"/>
          </w:tcPr>
          <w:p w:rsidR="003915D5" w:rsidRPr="00775F0C" w:rsidRDefault="003915D5" w:rsidP="00F46890">
            <w:pPr>
              <w:spacing w:after="40" w:line="240" w:lineRule="auto"/>
              <w:jc w:val="left"/>
              <w:rPr>
                <w:rFonts w:cs="Times New Roman"/>
                <w:i/>
                <w:sz w:val="21"/>
                <w:szCs w:val="21"/>
              </w:rPr>
            </w:pPr>
            <w:r w:rsidRPr="00775F0C">
              <w:rPr>
                <w:rFonts w:cs="Times New Roman"/>
                <w:sz w:val="21"/>
                <w:szCs w:val="21"/>
              </w:rPr>
              <w:t>Zarząd LGD.</w:t>
            </w:r>
          </w:p>
        </w:tc>
        <w:tc>
          <w:tcPr>
            <w:tcW w:w="3969" w:type="dxa"/>
          </w:tcPr>
          <w:p w:rsidR="003915D5" w:rsidRPr="00775F0C" w:rsidRDefault="003915D5" w:rsidP="00F46890">
            <w:pPr>
              <w:spacing w:after="40" w:line="240" w:lineRule="auto"/>
              <w:jc w:val="left"/>
              <w:rPr>
                <w:rFonts w:cs="Times New Roman"/>
                <w:i/>
                <w:sz w:val="21"/>
                <w:szCs w:val="21"/>
              </w:rPr>
            </w:pPr>
            <w:r w:rsidRPr="00775F0C">
              <w:rPr>
                <w:rFonts w:cs="Times New Roman"/>
                <w:sz w:val="21"/>
                <w:szCs w:val="21"/>
              </w:rPr>
              <w:t>Anonimowe ankiety.</w:t>
            </w:r>
          </w:p>
        </w:tc>
        <w:tc>
          <w:tcPr>
            <w:tcW w:w="1559" w:type="dxa"/>
          </w:tcPr>
          <w:p w:rsidR="003915D5" w:rsidRPr="00775F0C" w:rsidRDefault="003915D5" w:rsidP="00F46890">
            <w:pPr>
              <w:spacing w:after="40" w:line="240" w:lineRule="auto"/>
              <w:jc w:val="center"/>
              <w:rPr>
                <w:rFonts w:cs="Times New Roman"/>
                <w:i/>
                <w:sz w:val="21"/>
                <w:szCs w:val="21"/>
              </w:rPr>
            </w:pPr>
            <w:r w:rsidRPr="00775F0C">
              <w:rPr>
                <w:rFonts w:cs="Times New Roman"/>
                <w:sz w:val="21"/>
                <w:szCs w:val="21"/>
              </w:rPr>
              <w:t>Na bieżąco</w:t>
            </w:r>
          </w:p>
        </w:tc>
        <w:tc>
          <w:tcPr>
            <w:tcW w:w="5953" w:type="dxa"/>
          </w:tcPr>
          <w:p w:rsidR="003915D5" w:rsidRPr="00775F0C" w:rsidRDefault="003915D5" w:rsidP="00F46890">
            <w:pPr>
              <w:spacing w:after="40" w:line="240" w:lineRule="auto"/>
              <w:jc w:val="left"/>
              <w:rPr>
                <w:rFonts w:cs="Times New Roman"/>
                <w:i/>
                <w:sz w:val="21"/>
                <w:szCs w:val="21"/>
              </w:rPr>
            </w:pPr>
            <w:r w:rsidRPr="00775F0C">
              <w:rPr>
                <w:rFonts w:cs="Times New Roman"/>
                <w:sz w:val="21"/>
                <w:szCs w:val="21"/>
              </w:rPr>
              <w:t>Ocena pracy pracowników, sposób przekazywania istotnych informacji potencjalnym beneficjentom, pomoc w rozwiązywaniu problemów, efektywność świadczonego doradztwa.</w:t>
            </w:r>
          </w:p>
        </w:tc>
      </w:tr>
    </w:tbl>
    <w:p w:rsidR="00775F0C" w:rsidRPr="00775F0C" w:rsidRDefault="00775F0C" w:rsidP="004F4C46">
      <w:pPr>
        <w:pStyle w:val="Legenda"/>
      </w:pPr>
    </w:p>
    <w:p w:rsidR="00775F0C" w:rsidRPr="004F4C46" w:rsidRDefault="00775F0C" w:rsidP="004F4C46">
      <w:pPr>
        <w:pStyle w:val="Legenda"/>
      </w:pPr>
      <w:r w:rsidRPr="004F4C46">
        <w:t xml:space="preserve">Tabela </w:t>
      </w:r>
      <w:r w:rsidR="007E1AC1">
        <w:fldChar w:fldCharType="begin"/>
      </w:r>
      <w:r w:rsidR="007E1AC1">
        <w:instrText xml:space="preserve"> SEQ Tabela \* ARABIC </w:instrText>
      </w:r>
      <w:r w:rsidR="007E1AC1">
        <w:fldChar w:fldCharType="separate"/>
      </w:r>
      <w:r w:rsidRPr="004F4C46">
        <w:rPr>
          <w:noProof/>
        </w:rPr>
        <w:t>2</w:t>
      </w:r>
      <w:r w:rsidR="007E1AC1">
        <w:rPr>
          <w:noProof/>
        </w:rPr>
        <w:fldChar w:fldCharType="end"/>
      </w:r>
      <w:r w:rsidRPr="004F4C46">
        <w:t xml:space="preserve"> Elementy podlegające ewaluacji</w:t>
      </w:r>
      <w:bookmarkStart w:id="0" w:name="_GoBack"/>
      <w:bookmarkEnd w:id="0"/>
    </w:p>
    <w:tbl>
      <w:tblPr>
        <w:tblStyle w:val="Tabela-Siatka"/>
        <w:tblW w:w="15304" w:type="dxa"/>
        <w:jc w:val="center"/>
        <w:tblLook w:val="04A0" w:firstRow="1" w:lastRow="0" w:firstColumn="1" w:lastColumn="0" w:noHBand="0" w:noVBand="1"/>
      </w:tblPr>
      <w:tblGrid>
        <w:gridCol w:w="2122"/>
        <w:gridCol w:w="1559"/>
        <w:gridCol w:w="3402"/>
        <w:gridCol w:w="4111"/>
        <w:gridCol w:w="4110"/>
      </w:tblGrid>
      <w:tr w:rsidR="003915D5" w:rsidRPr="00775F0C" w:rsidTr="007E1AC1">
        <w:trPr>
          <w:trHeight w:val="543"/>
          <w:jc w:val="center"/>
        </w:trPr>
        <w:tc>
          <w:tcPr>
            <w:tcW w:w="2122" w:type="dxa"/>
            <w:shd w:val="clear" w:color="auto" w:fill="E5B8B7" w:themeFill="accent2" w:themeFillTint="66"/>
            <w:vAlign w:val="center"/>
          </w:tcPr>
          <w:p w:rsidR="003915D5" w:rsidRPr="00775F0C" w:rsidRDefault="003915D5" w:rsidP="004F4C46">
            <w:pPr>
              <w:spacing w:after="40" w:line="240" w:lineRule="auto"/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775F0C">
              <w:rPr>
                <w:rFonts w:cs="Times New Roman"/>
                <w:b/>
                <w:sz w:val="21"/>
                <w:szCs w:val="21"/>
              </w:rPr>
              <w:t>Elementy poddane badaniu</w:t>
            </w:r>
          </w:p>
        </w:tc>
        <w:tc>
          <w:tcPr>
            <w:tcW w:w="1559" w:type="dxa"/>
            <w:shd w:val="clear" w:color="auto" w:fill="E5B8B7" w:themeFill="accent2" w:themeFillTint="66"/>
            <w:vAlign w:val="center"/>
          </w:tcPr>
          <w:p w:rsidR="003915D5" w:rsidRPr="00775F0C" w:rsidRDefault="003915D5" w:rsidP="004F4C46">
            <w:pPr>
              <w:spacing w:after="40" w:line="240" w:lineRule="auto"/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775F0C">
              <w:rPr>
                <w:rFonts w:cs="Times New Roman"/>
                <w:b/>
                <w:sz w:val="21"/>
                <w:szCs w:val="21"/>
              </w:rPr>
              <w:t>Wykonawca badania</w:t>
            </w:r>
          </w:p>
        </w:tc>
        <w:tc>
          <w:tcPr>
            <w:tcW w:w="3402" w:type="dxa"/>
            <w:shd w:val="clear" w:color="auto" w:fill="E5B8B7" w:themeFill="accent2" w:themeFillTint="66"/>
            <w:vAlign w:val="center"/>
          </w:tcPr>
          <w:p w:rsidR="003915D5" w:rsidRPr="00775F0C" w:rsidRDefault="003915D5" w:rsidP="004F4C46">
            <w:pPr>
              <w:spacing w:after="40" w:line="240" w:lineRule="auto"/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775F0C">
              <w:rPr>
                <w:rFonts w:cs="Times New Roman"/>
                <w:b/>
                <w:sz w:val="21"/>
                <w:szCs w:val="21"/>
              </w:rPr>
              <w:t>Źródła danych i metody ich zbierania</w:t>
            </w:r>
          </w:p>
        </w:tc>
        <w:tc>
          <w:tcPr>
            <w:tcW w:w="4111" w:type="dxa"/>
            <w:shd w:val="clear" w:color="auto" w:fill="E5B8B7" w:themeFill="accent2" w:themeFillTint="66"/>
            <w:vAlign w:val="center"/>
          </w:tcPr>
          <w:p w:rsidR="003915D5" w:rsidRPr="00775F0C" w:rsidRDefault="003915D5" w:rsidP="004F4C46">
            <w:pPr>
              <w:spacing w:after="40" w:line="240" w:lineRule="auto"/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775F0C">
              <w:rPr>
                <w:rFonts w:cs="Times New Roman"/>
                <w:b/>
                <w:sz w:val="21"/>
                <w:szCs w:val="21"/>
              </w:rPr>
              <w:t>Czas i okres dokonywania pomiaru</w:t>
            </w:r>
          </w:p>
        </w:tc>
        <w:tc>
          <w:tcPr>
            <w:tcW w:w="4110" w:type="dxa"/>
            <w:shd w:val="clear" w:color="auto" w:fill="E5B8B7" w:themeFill="accent2" w:themeFillTint="66"/>
            <w:vAlign w:val="center"/>
          </w:tcPr>
          <w:p w:rsidR="003915D5" w:rsidRPr="00775F0C" w:rsidRDefault="003915D5" w:rsidP="004F4C46">
            <w:pPr>
              <w:spacing w:after="40" w:line="240" w:lineRule="auto"/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775F0C">
              <w:rPr>
                <w:rFonts w:cs="Times New Roman"/>
                <w:b/>
                <w:sz w:val="21"/>
                <w:szCs w:val="21"/>
              </w:rPr>
              <w:t>Analiza i ocena danych</w:t>
            </w:r>
          </w:p>
        </w:tc>
      </w:tr>
      <w:tr w:rsidR="00775F0C" w:rsidRPr="00775F0C" w:rsidTr="007E1AC1">
        <w:trPr>
          <w:trHeight w:val="760"/>
          <w:jc w:val="center"/>
        </w:trPr>
        <w:tc>
          <w:tcPr>
            <w:tcW w:w="2122" w:type="dxa"/>
          </w:tcPr>
          <w:p w:rsidR="003915D5" w:rsidRPr="00775F0C" w:rsidRDefault="003915D5" w:rsidP="004F4C46">
            <w:pPr>
              <w:spacing w:after="40" w:line="240" w:lineRule="auto"/>
              <w:jc w:val="left"/>
              <w:rPr>
                <w:rFonts w:cs="Times New Roman"/>
                <w:i/>
                <w:sz w:val="21"/>
                <w:szCs w:val="21"/>
              </w:rPr>
            </w:pPr>
            <w:r w:rsidRPr="00775F0C">
              <w:rPr>
                <w:rFonts w:cs="Times New Roman"/>
                <w:sz w:val="21"/>
                <w:szCs w:val="21"/>
              </w:rPr>
              <w:t xml:space="preserve">Działalność LGD, pracownicy </w:t>
            </w:r>
            <w:r w:rsidRPr="00775F0C">
              <w:rPr>
                <w:rFonts w:cs="Times New Roman"/>
                <w:sz w:val="21"/>
                <w:szCs w:val="21"/>
              </w:rPr>
              <w:br/>
              <w:t>i funkcjonowanie biura.</w:t>
            </w:r>
          </w:p>
        </w:tc>
        <w:tc>
          <w:tcPr>
            <w:tcW w:w="1559" w:type="dxa"/>
          </w:tcPr>
          <w:p w:rsidR="003915D5" w:rsidRPr="00775F0C" w:rsidRDefault="00AB2C6A" w:rsidP="00AB2C6A">
            <w:pPr>
              <w:spacing w:after="40" w:line="240" w:lineRule="auto"/>
              <w:jc w:val="left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Zarząd</w:t>
            </w:r>
            <w:r w:rsidR="003915D5" w:rsidRPr="00775F0C">
              <w:rPr>
                <w:rFonts w:cs="Times New Roman"/>
                <w:sz w:val="21"/>
                <w:szCs w:val="21"/>
              </w:rPr>
              <w:t xml:space="preserve"> LG</w:t>
            </w:r>
            <w:r>
              <w:rPr>
                <w:rFonts w:cs="Times New Roman"/>
                <w:sz w:val="21"/>
                <w:szCs w:val="21"/>
              </w:rPr>
              <w:t>D</w:t>
            </w:r>
            <w:r w:rsidR="003915D5" w:rsidRPr="00775F0C">
              <w:rPr>
                <w:rFonts w:cs="Times New Roman"/>
                <w:sz w:val="21"/>
                <w:szCs w:val="21"/>
              </w:rPr>
              <w:t>.</w:t>
            </w:r>
          </w:p>
        </w:tc>
        <w:tc>
          <w:tcPr>
            <w:tcW w:w="3402" w:type="dxa"/>
          </w:tcPr>
          <w:p w:rsidR="003915D5" w:rsidRPr="00775F0C" w:rsidRDefault="003915D5" w:rsidP="004F4C46">
            <w:pPr>
              <w:spacing w:after="40" w:line="240" w:lineRule="auto"/>
              <w:jc w:val="left"/>
              <w:rPr>
                <w:rFonts w:cs="Times New Roman"/>
                <w:i/>
                <w:sz w:val="21"/>
                <w:szCs w:val="21"/>
              </w:rPr>
            </w:pPr>
            <w:r w:rsidRPr="00775F0C">
              <w:rPr>
                <w:rFonts w:cs="Times New Roman"/>
                <w:sz w:val="21"/>
                <w:szCs w:val="21"/>
              </w:rPr>
              <w:t>Badania ankietowe, opinie beneficjentów, rozmowy z mieszkańcami na otwartych spotkaniach, wywiady z wnioskodawcami, opinie dyrektora i członków Stowarzyszenia.</w:t>
            </w:r>
          </w:p>
        </w:tc>
        <w:tc>
          <w:tcPr>
            <w:tcW w:w="4111" w:type="dxa"/>
          </w:tcPr>
          <w:p w:rsidR="003915D5" w:rsidRPr="00775F0C" w:rsidRDefault="004C5DF2" w:rsidP="004C5DF2">
            <w:pPr>
              <w:spacing w:after="40" w:line="240" w:lineRule="auto"/>
              <w:jc w:val="left"/>
              <w:rPr>
                <w:rFonts w:cs="Times New Roman"/>
                <w:sz w:val="21"/>
                <w:szCs w:val="21"/>
              </w:rPr>
            </w:pPr>
            <w:r w:rsidRPr="004C5DF2">
              <w:rPr>
                <w:rFonts w:cs="Times New Roman"/>
                <w:sz w:val="21"/>
                <w:szCs w:val="21"/>
              </w:rPr>
              <w:t>Ocena roczna za lata 2016–2022, dokonywana</w:t>
            </w:r>
            <w:r>
              <w:rPr>
                <w:rFonts w:cs="Times New Roman"/>
                <w:sz w:val="21"/>
                <w:szCs w:val="21"/>
              </w:rPr>
              <w:t xml:space="preserve"> </w:t>
            </w:r>
            <w:r w:rsidRPr="004C5DF2">
              <w:rPr>
                <w:rFonts w:cs="Times New Roman"/>
                <w:sz w:val="21"/>
                <w:szCs w:val="21"/>
              </w:rPr>
              <w:t>w pierwszym kwartale roku kolejnego.</w:t>
            </w:r>
          </w:p>
        </w:tc>
        <w:tc>
          <w:tcPr>
            <w:tcW w:w="4110" w:type="dxa"/>
          </w:tcPr>
          <w:p w:rsidR="003915D5" w:rsidRPr="00775F0C" w:rsidRDefault="003915D5" w:rsidP="004F4C46">
            <w:pPr>
              <w:spacing w:after="40" w:line="240" w:lineRule="auto"/>
              <w:jc w:val="left"/>
              <w:rPr>
                <w:rFonts w:cs="Times New Roman"/>
                <w:i/>
                <w:sz w:val="21"/>
                <w:szCs w:val="21"/>
              </w:rPr>
            </w:pPr>
            <w:r w:rsidRPr="00775F0C">
              <w:rPr>
                <w:rFonts w:cs="Times New Roman"/>
                <w:sz w:val="21"/>
                <w:szCs w:val="21"/>
              </w:rPr>
              <w:t>Ocena poprawności działalności prowadzonej przez Stowarzyszenie, określająca skuteczność realizowanych zadań w odniesieniu do założeń LSR.</w:t>
            </w:r>
          </w:p>
        </w:tc>
      </w:tr>
      <w:tr w:rsidR="00775F0C" w:rsidRPr="00775F0C" w:rsidTr="007E1AC1">
        <w:trPr>
          <w:trHeight w:val="755"/>
          <w:jc w:val="center"/>
        </w:trPr>
        <w:tc>
          <w:tcPr>
            <w:tcW w:w="2122" w:type="dxa"/>
          </w:tcPr>
          <w:p w:rsidR="003915D5" w:rsidRPr="00775F0C" w:rsidRDefault="003915D5" w:rsidP="004F4C46">
            <w:pPr>
              <w:spacing w:after="40" w:line="240" w:lineRule="auto"/>
              <w:jc w:val="left"/>
              <w:rPr>
                <w:rFonts w:cs="Times New Roman"/>
                <w:sz w:val="21"/>
                <w:szCs w:val="21"/>
              </w:rPr>
            </w:pPr>
            <w:r w:rsidRPr="00775F0C">
              <w:rPr>
                <w:rFonts w:cs="Times New Roman"/>
                <w:sz w:val="21"/>
                <w:szCs w:val="21"/>
              </w:rPr>
              <w:t xml:space="preserve">Skuteczność promocji </w:t>
            </w:r>
            <w:r w:rsidRPr="00775F0C">
              <w:rPr>
                <w:rFonts w:cs="Times New Roman"/>
                <w:sz w:val="21"/>
                <w:szCs w:val="21"/>
              </w:rPr>
              <w:br/>
              <w:t>i aktywizacji społeczności lokalnej.</w:t>
            </w:r>
          </w:p>
        </w:tc>
        <w:tc>
          <w:tcPr>
            <w:tcW w:w="1559" w:type="dxa"/>
          </w:tcPr>
          <w:p w:rsidR="003915D5" w:rsidRPr="00775F0C" w:rsidRDefault="00AB2C6A" w:rsidP="004F4C46">
            <w:pPr>
              <w:spacing w:after="40" w:line="240" w:lineRule="auto"/>
              <w:jc w:val="left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Zarząd</w:t>
            </w:r>
            <w:r w:rsidRPr="00775F0C">
              <w:rPr>
                <w:rFonts w:cs="Times New Roman"/>
                <w:sz w:val="21"/>
                <w:szCs w:val="21"/>
              </w:rPr>
              <w:t xml:space="preserve"> LG</w:t>
            </w:r>
            <w:r>
              <w:rPr>
                <w:rFonts w:cs="Times New Roman"/>
                <w:sz w:val="21"/>
                <w:szCs w:val="21"/>
              </w:rPr>
              <w:t>D</w:t>
            </w:r>
            <w:r w:rsidRPr="00775F0C">
              <w:rPr>
                <w:rFonts w:cs="Times New Roman"/>
                <w:sz w:val="21"/>
                <w:szCs w:val="21"/>
              </w:rPr>
              <w:t>.</w:t>
            </w:r>
          </w:p>
        </w:tc>
        <w:tc>
          <w:tcPr>
            <w:tcW w:w="3402" w:type="dxa"/>
          </w:tcPr>
          <w:p w:rsidR="003915D5" w:rsidRPr="00775F0C" w:rsidRDefault="003915D5" w:rsidP="004F4C46">
            <w:pPr>
              <w:spacing w:after="40" w:line="240" w:lineRule="auto"/>
              <w:jc w:val="left"/>
              <w:rPr>
                <w:rFonts w:cs="Times New Roman"/>
                <w:i/>
                <w:sz w:val="21"/>
                <w:szCs w:val="21"/>
              </w:rPr>
            </w:pPr>
            <w:r w:rsidRPr="00775F0C">
              <w:rPr>
                <w:rFonts w:cs="Times New Roman"/>
                <w:sz w:val="21"/>
                <w:szCs w:val="21"/>
              </w:rPr>
              <w:t>Badania ankietowe wśród miesz</w:t>
            </w:r>
            <w:r w:rsidR="00F779B3">
              <w:rPr>
                <w:rFonts w:cs="Times New Roman"/>
                <w:sz w:val="21"/>
                <w:szCs w:val="21"/>
              </w:rPr>
              <w:t>kańców, prowadzone bezpośrednio oraz</w:t>
            </w:r>
            <w:r w:rsidRPr="00775F0C">
              <w:rPr>
                <w:rFonts w:cs="Times New Roman"/>
                <w:sz w:val="21"/>
                <w:szCs w:val="21"/>
              </w:rPr>
              <w:t xml:space="preserve"> za pośrednictwem strony internetowej Stowarzyszenia. </w:t>
            </w:r>
          </w:p>
        </w:tc>
        <w:tc>
          <w:tcPr>
            <w:tcW w:w="4111" w:type="dxa"/>
          </w:tcPr>
          <w:p w:rsidR="003915D5" w:rsidRPr="00775F0C" w:rsidRDefault="004C5DF2" w:rsidP="004C5DF2">
            <w:pPr>
              <w:spacing w:after="40" w:line="240" w:lineRule="auto"/>
              <w:jc w:val="left"/>
              <w:rPr>
                <w:rFonts w:cs="Times New Roman"/>
                <w:i/>
                <w:sz w:val="21"/>
                <w:szCs w:val="21"/>
              </w:rPr>
            </w:pPr>
            <w:r w:rsidRPr="004C5DF2">
              <w:rPr>
                <w:rFonts w:cs="Times New Roman"/>
                <w:sz w:val="21"/>
                <w:szCs w:val="21"/>
              </w:rPr>
              <w:t>Ocena roczna za lata 2016–2022, dokonywana w pierwszym kwartale roku kolejnego.</w:t>
            </w:r>
          </w:p>
        </w:tc>
        <w:tc>
          <w:tcPr>
            <w:tcW w:w="4110" w:type="dxa"/>
          </w:tcPr>
          <w:p w:rsidR="003915D5" w:rsidRPr="00775F0C" w:rsidRDefault="003915D5" w:rsidP="004F4C46">
            <w:pPr>
              <w:spacing w:after="40" w:line="240" w:lineRule="auto"/>
              <w:jc w:val="left"/>
              <w:rPr>
                <w:rFonts w:cs="Times New Roman"/>
                <w:i/>
                <w:sz w:val="21"/>
                <w:szCs w:val="21"/>
              </w:rPr>
            </w:pPr>
            <w:r w:rsidRPr="00775F0C">
              <w:rPr>
                <w:rFonts w:cs="Times New Roman"/>
                <w:sz w:val="21"/>
                <w:szCs w:val="21"/>
              </w:rPr>
              <w:t xml:space="preserve">Ocena skuteczności promocji LGD oraz działań wdrażanych w ramach LSR, </w:t>
            </w:r>
            <w:r w:rsidR="006A06DB" w:rsidRPr="00775F0C">
              <w:rPr>
                <w:rFonts w:cs="Times New Roman"/>
                <w:sz w:val="21"/>
                <w:szCs w:val="21"/>
              </w:rPr>
              <w:t>mierzona, jako</w:t>
            </w:r>
            <w:r w:rsidRPr="00775F0C">
              <w:rPr>
                <w:rFonts w:cs="Times New Roman"/>
                <w:sz w:val="21"/>
                <w:szCs w:val="21"/>
              </w:rPr>
              <w:t xml:space="preserve"> liczba osób, które uzyskały informację na temat LGD oraz skuteczność animacji społeczności.</w:t>
            </w:r>
          </w:p>
        </w:tc>
      </w:tr>
      <w:tr w:rsidR="00775F0C" w:rsidRPr="00775F0C" w:rsidTr="007E1AC1">
        <w:trPr>
          <w:trHeight w:val="755"/>
          <w:jc w:val="center"/>
        </w:trPr>
        <w:tc>
          <w:tcPr>
            <w:tcW w:w="2122" w:type="dxa"/>
          </w:tcPr>
          <w:p w:rsidR="003915D5" w:rsidRPr="00775F0C" w:rsidRDefault="003915D5" w:rsidP="004F4C46">
            <w:pPr>
              <w:spacing w:after="40" w:line="240" w:lineRule="auto"/>
              <w:jc w:val="left"/>
              <w:rPr>
                <w:rFonts w:cs="Times New Roman"/>
                <w:i/>
                <w:sz w:val="21"/>
                <w:szCs w:val="21"/>
              </w:rPr>
            </w:pPr>
            <w:r w:rsidRPr="00775F0C">
              <w:rPr>
                <w:rFonts w:cs="Times New Roman"/>
                <w:sz w:val="21"/>
                <w:szCs w:val="21"/>
              </w:rPr>
              <w:t>Stopień realizacji celów LSR – stopień realizacji wskaźników.</w:t>
            </w:r>
          </w:p>
        </w:tc>
        <w:tc>
          <w:tcPr>
            <w:tcW w:w="1559" w:type="dxa"/>
          </w:tcPr>
          <w:p w:rsidR="003915D5" w:rsidRPr="00775F0C" w:rsidRDefault="003915D5" w:rsidP="004F4C46">
            <w:pPr>
              <w:spacing w:after="40" w:line="240" w:lineRule="auto"/>
              <w:jc w:val="left"/>
              <w:rPr>
                <w:rFonts w:cs="Times New Roman"/>
                <w:i/>
                <w:sz w:val="21"/>
                <w:szCs w:val="21"/>
              </w:rPr>
            </w:pPr>
            <w:r w:rsidRPr="00775F0C">
              <w:rPr>
                <w:rFonts w:cs="Times New Roman"/>
                <w:sz w:val="21"/>
                <w:szCs w:val="21"/>
              </w:rPr>
              <w:t>Podmiot niezwiązany</w:t>
            </w:r>
            <w:r w:rsidRPr="00775F0C">
              <w:rPr>
                <w:rFonts w:cs="Times New Roman"/>
                <w:sz w:val="21"/>
                <w:szCs w:val="21"/>
              </w:rPr>
              <w:br/>
              <w:t>z LGD (ocena zewnętrzna).</w:t>
            </w:r>
          </w:p>
        </w:tc>
        <w:tc>
          <w:tcPr>
            <w:tcW w:w="3402" w:type="dxa"/>
          </w:tcPr>
          <w:p w:rsidR="003915D5" w:rsidRPr="00775F0C" w:rsidRDefault="003915D5" w:rsidP="004F4C46">
            <w:pPr>
              <w:spacing w:after="40" w:line="240" w:lineRule="auto"/>
              <w:jc w:val="left"/>
              <w:rPr>
                <w:rFonts w:cs="Times New Roman"/>
                <w:i/>
                <w:sz w:val="21"/>
                <w:szCs w:val="21"/>
              </w:rPr>
            </w:pPr>
            <w:r w:rsidRPr="00775F0C">
              <w:rPr>
                <w:rFonts w:cs="Times New Roman"/>
                <w:sz w:val="21"/>
                <w:szCs w:val="21"/>
              </w:rPr>
              <w:t>Ankiety beneficjentów, sprawozdania beneficjentów, rejestr danych LGD.</w:t>
            </w:r>
          </w:p>
        </w:tc>
        <w:tc>
          <w:tcPr>
            <w:tcW w:w="4111" w:type="dxa"/>
          </w:tcPr>
          <w:p w:rsidR="003915D5" w:rsidRPr="00775F0C" w:rsidRDefault="004C5DF2" w:rsidP="007E1AC1">
            <w:pPr>
              <w:spacing w:line="240" w:lineRule="auto"/>
              <w:jc w:val="left"/>
              <w:rPr>
                <w:rFonts w:cs="Times New Roman"/>
                <w:sz w:val="21"/>
                <w:szCs w:val="21"/>
              </w:rPr>
            </w:pPr>
            <w:r w:rsidRPr="004C5DF2">
              <w:rPr>
                <w:rFonts w:eastAsia="Calibri" w:cs="Times New Roman"/>
                <w:sz w:val="22"/>
              </w:rPr>
              <w:t xml:space="preserve">Ocena dwuletnia, dokonywana </w:t>
            </w:r>
            <w:r w:rsidRPr="004C5DF2">
              <w:rPr>
                <w:rFonts w:eastAsia="Calibri" w:cs="Times New Roman"/>
                <w:sz w:val="22"/>
              </w:rPr>
              <w:br/>
              <w:t>w pierwszym kwartale roku kolejnego, z wyłączeniem roku, 2023 gdy wykonywana na dzień 31 marca.</w:t>
            </w:r>
            <w:r w:rsidR="007E1AC1">
              <w:rPr>
                <w:rFonts w:eastAsia="Calibri" w:cs="Times New Roman"/>
                <w:sz w:val="22"/>
              </w:rPr>
              <w:t xml:space="preserve"> </w:t>
            </w:r>
            <w:r w:rsidRPr="004C5DF2">
              <w:rPr>
                <w:rFonts w:eastAsia="Calibri" w:cs="Times New Roman"/>
                <w:sz w:val="22"/>
              </w:rPr>
              <w:t xml:space="preserve">W roku 2019 ewaluacja </w:t>
            </w:r>
            <w:r w:rsidRPr="004C5DF2">
              <w:rPr>
                <w:rFonts w:eastAsia="Calibri" w:cs="Times New Roman"/>
                <w:i/>
                <w:sz w:val="22"/>
              </w:rPr>
              <w:t>interim</w:t>
            </w:r>
            <w:r w:rsidRPr="004C5DF2">
              <w:rPr>
                <w:rFonts w:eastAsia="Calibri" w:cs="Times New Roman"/>
                <w:sz w:val="22"/>
              </w:rPr>
              <w:t xml:space="preserve">, w roku 2023 ewaluacja </w:t>
            </w:r>
            <w:r w:rsidRPr="004C5DF2">
              <w:rPr>
                <w:rFonts w:eastAsia="Calibri" w:cs="Times New Roman"/>
                <w:i/>
                <w:sz w:val="22"/>
              </w:rPr>
              <w:t>ex-post</w:t>
            </w:r>
            <w:r w:rsidRPr="004C5DF2">
              <w:rPr>
                <w:rFonts w:eastAsia="Calibri" w:cs="Times New Roman"/>
                <w:sz w:val="22"/>
              </w:rPr>
              <w:t>.</w:t>
            </w:r>
          </w:p>
        </w:tc>
        <w:tc>
          <w:tcPr>
            <w:tcW w:w="4110" w:type="dxa"/>
          </w:tcPr>
          <w:p w:rsidR="003915D5" w:rsidRPr="00775F0C" w:rsidRDefault="003915D5" w:rsidP="004F4C46">
            <w:pPr>
              <w:spacing w:after="40" w:line="240" w:lineRule="auto"/>
              <w:jc w:val="left"/>
              <w:rPr>
                <w:rFonts w:cs="Times New Roman"/>
                <w:i/>
                <w:sz w:val="21"/>
                <w:szCs w:val="21"/>
              </w:rPr>
            </w:pPr>
            <w:r w:rsidRPr="00775F0C">
              <w:rPr>
                <w:rFonts w:cs="Times New Roman"/>
                <w:sz w:val="21"/>
                <w:szCs w:val="21"/>
              </w:rPr>
              <w:t>Ocena celowości i trafności założeń realizowanych w ramach LSR. Określenie stopnia realizacji poszczególnych celów.</w:t>
            </w:r>
          </w:p>
        </w:tc>
      </w:tr>
      <w:tr w:rsidR="00AB2C6A" w:rsidRPr="00775F0C" w:rsidTr="007E1AC1">
        <w:trPr>
          <w:trHeight w:val="755"/>
          <w:jc w:val="center"/>
        </w:trPr>
        <w:tc>
          <w:tcPr>
            <w:tcW w:w="2122" w:type="dxa"/>
          </w:tcPr>
          <w:p w:rsidR="00AB2C6A" w:rsidRPr="00775F0C" w:rsidRDefault="00AB2C6A" w:rsidP="00AB2C6A">
            <w:pPr>
              <w:spacing w:after="40" w:line="240" w:lineRule="auto"/>
              <w:jc w:val="left"/>
              <w:rPr>
                <w:rFonts w:cs="Times New Roman"/>
                <w:i/>
                <w:sz w:val="21"/>
                <w:szCs w:val="21"/>
              </w:rPr>
            </w:pPr>
            <w:r w:rsidRPr="00775F0C">
              <w:rPr>
                <w:rFonts w:cs="Times New Roman"/>
                <w:sz w:val="21"/>
                <w:szCs w:val="21"/>
              </w:rPr>
              <w:t>Harmonogram rzeczowo-finansowy LSR.</w:t>
            </w:r>
          </w:p>
        </w:tc>
        <w:tc>
          <w:tcPr>
            <w:tcW w:w="1559" w:type="dxa"/>
          </w:tcPr>
          <w:p w:rsidR="00AB2C6A" w:rsidRDefault="00AB2C6A" w:rsidP="00AB2C6A">
            <w:r w:rsidRPr="00805A54">
              <w:rPr>
                <w:rFonts w:cs="Times New Roman"/>
                <w:sz w:val="21"/>
                <w:szCs w:val="21"/>
              </w:rPr>
              <w:t>Zarząd LGD.</w:t>
            </w:r>
          </w:p>
        </w:tc>
        <w:tc>
          <w:tcPr>
            <w:tcW w:w="3402" w:type="dxa"/>
          </w:tcPr>
          <w:p w:rsidR="00AB2C6A" w:rsidRPr="00775F0C" w:rsidRDefault="00AB2C6A" w:rsidP="00AB2C6A">
            <w:pPr>
              <w:spacing w:after="40" w:line="240" w:lineRule="auto"/>
              <w:jc w:val="left"/>
              <w:rPr>
                <w:rFonts w:cs="Times New Roman"/>
                <w:i/>
                <w:sz w:val="21"/>
                <w:szCs w:val="21"/>
              </w:rPr>
            </w:pPr>
            <w:r w:rsidRPr="00775F0C">
              <w:rPr>
                <w:rFonts w:cs="Times New Roman"/>
                <w:sz w:val="21"/>
                <w:szCs w:val="21"/>
              </w:rPr>
              <w:t xml:space="preserve">Rejestr danych. </w:t>
            </w:r>
          </w:p>
        </w:tc>
        <w:tc>
          <w:tcPr>
            <w:tcW w:w="4111" w:type="dxa"/>
          </w:tcPr>
          <w:p w:rsidR="004C5DF2" w:rsidRPr="004C5DF2" w:rsidRDefault="004C5DF2" w:rsidP="004C5DF2">
            <w:pPr>
              <w:spacing w:line="240" w:lineRule="auto"/>
              <w:jc w:val="left"/>
              <w:rPr>
                <w:rFonts w:cs="Times New Roman"/>
                <w:sz w:val="21"/>
                <w:szCs w:val="21"/>
              </w:rPr>
            </w:pPr>
            <w:r w:rsidRPr="004C5DF2">
              <w:rPr>
                <w:rFonts w:cs="Times New Roman"/>
                <w:sz w:val="21"/>
                <w:szCs w:val="21"/>
              </w:rPr>
              <w:t xml:space="preserve">Ocena dokonywana corocznie </w:t>
            </w:r>
          </w:p>
          <w:p w:rsidR="004C5DF2" w:rsidRPr="004C5DF2" w:rsidRDefault="004C5DF2" w:rsidP="004C5DF2">
            <w:pPr>
              <w:spacing w:line="240" w:lineRule="auto"/>
              <w:jc w:val="left"/>
              <w:rPr>
                <w:rFonts w:cs="Times New Roman"/>
                <w:sz w:val="21"/>
                <w:szCs w:val="21"/>
              </w:rPr>
            </w:pPr>
            <w:r w:rsidRPr="004C5DF2">
              <w:rPr>
                <w:rFonts w:cs="Times New Roman"/>
                <w:sz w:val="21"/>
                <w:szCs w:val="21"/>
              </w:rPr>
              <w:t xml:space="preserve">w pierwszym kwartale roku kolejnego </w:t>
            </w:r>
          </w:p>
          <w:p w:rsidR="00AB2C6A" w:rsidRPr="00775F0C" w:rsidRDefault="004C5DF2" w:rsidP="004C5DF2">
            <w:pPr>
              <w:spacing w:line="240" w:lineRule="auto"/>
              <w:jc w:val="left"/>
              <w:rPr>
                <w:rFonts w:cs="Times New Roman"/>
                <w:i/>
                <w:sz w:val="21"/>
                <w:szCs w:val="21"/>
              </w:rPr>
            </w:pPr>
            <w:r w:rsidRPr="004C5DF2">
              <w:rPr>
                <w:rFonts w:cs="Times New Roman"/>
                <w:sz w:val="21"/>
                <w:szCs w:val="21"/>
              </w:rPr>
              <w:t>(w latach 2016–2022)</w:t>
            </w:r>
          </w:p>
        </w:tc>
        <w:tc>
          <w:tcPr>
            <w:tcW w:w="4110" w:type="dxa"/>
          </w:tcPr>
          <w:p w:rsidR="00AB2C6A" w:rsidRPr="00775F0C" w:rsidRDefault="00AB2C6A" w:rsidP="00AB2C6A">
            <w:pPr>
              <w:spacing w:after="40" w:line="240" w:lineRule="auto"/>
              <w:jc w:val="left"/>
              <w:rPr>
                <w:rFonts w:cs="Times New Roman"/>
                <w:i/>
                <w:sz w:val="21"/>
                <w:szCs w:val="21"/>
              </w:rPr>
            </w:pPr>
            <w:r w:rsidRPr="00775F0C">
              <w:rPr>
                <w:rFonts w:cs="Times New Roman"/>
                <w:sz w:val="21"/>
                <w:szCs w:val="21"/>
              </w:rPr>
              <w:t xml:space="preserve">Ocena zgodności ogłaszanych </w:t>
            </w:r>
            <w:r>
              <w:rPr>
                <w:rFonts w:cs="Times New Roman"/>
                <w:sz w:val="21"/>
                <w:szCs w:val="21"/>
              </w:rPr>
              <w:br/>
            </w:r>
            <w:r w:rsidRPr="00775F0C">
              <w:rPr>
                <w:rFonts w:cs="Times New Roman"/>
                <w:sz w:val="21"/>
                <w:szCs w:val="21"/>
              </w:rPr>
              <w:t xml:space="preserve">i realizowanych projektów z harmonogramem określonym </w:t>
            </w:r>
            <w:r w:rsidR="007E1AC1">
              <w:rPr>
                <w:rFonts w:cs="Times New Roman"/>
                <w:sz w:val="21"/>
                <w:szCs w:val="21"/>
              </w:rPr>
              <w:br/>
            </w:r>
            <w:r w:rsidRPr="00775F0C">
              <w:rPr>
                <w:rFonts w:cs="Times New Roman"/>
                <w:sz w:val="21"/>
                <w:szCs w:val="21"/>
              </w:rPr>
              <w:t>w LSR.</w:t>
            </w:r>
          </w:p>
        </w:tc>
      </w:tr>
      <w:tr w:rsidR="00AB2C6A" w:rsidRPr="00775F0C" w:rsidTr="007E1AC1">
        <w:trPr>
          <w:trHeight w:val="755"/>
          <w:jc w:val="center"/>
        </w:trPr>
        <w:tc>
          <w:tcPr>
            <w:tcW w:w="2122" w:type="dxa"/>
          </w:tcPr>
          <w:p w:rsidR="00AB2C6A" w:rsidRPr="00775F0C" w:rsidRDefault="00AB2C6A" w:rsidP="00AB2C6A">
            <w:pPr>
              <w:spacing w:after="40" w:line="240" w:lineRule="auto"/>
              <w:jc w:val="left"/>
              <w:rPr>
                <w:rFonts w:cs="Times New Roman"/>
                <w:i/>
                <w:sz w:val="21"/>
                <w:szCs w:val="21"/>
              </w:rPr>
            </w:pPr>
            <w:r w:rsidRPr="00775F0C">
              <w:rPr>
                <w:rFonts w:cs="Times New Roman"/>
                <w:sz w:val="21"/>
                <w:szCs w:val="21"/>
              </w:rPr>
              <w:t>Budżet LSR.</w:t>
            </w:r>
          </w:p>
        </w:tc>
        <w:tc>
          <w:tcPr>
            <w:tcW w:w="1559" w:type="dxa"/>
          </w:tcPr>
          <w:p w:rsidR="00AB2C6A" w:rsidRDefault="00AB2C6A" w:rsidP="00AB2C6A">
            <w:r w:rsidRPr="00805A54">
              <w:rPr>
                <w:rFonts w:cs="Times New Roman"/>
                <w:sz w:val="21"/>
                <w:szCs w:val="21"/>
              </w:rPr>
              <w:t>Zarząd LGD.</w:t>
            </w:r>
          </w:p>
        </w:tc>
        <w:tc>
          <w:tcPr>
            <w:tcW w:w="3402" w:type="dxa"/>
          </w:tcPr>
          <w:p w:rsidR="00AB2C6A" w:rsidRPr="00775F0C" w:rsidRDefault="00AB2C6A" w:rsidP="00AB2C6A">
            <w:pPr>
              <w:spacing w:after="40" w:line="240" w:lineRule="auto"/>
              <w:jc w:val="left"/>
              <w:rPr>
                <w:rFonts w:cs="Times New Roman"/>
                <w:i/>
                <w:sz w:val="21"/>
                <w:szCs w:val="21"/>
              </w:rPr>
            </w:pPr>
            <w:r w:rsidRPr="00775F0C">
              <w:rPr>
                <w:rFonts w:cs="Times New Roman"/>
                <w:sz w:val="21"/>
                <w:szCs w:val="21"/>
              </w:rPr>
              <w:t xml:space="preserve">Rejestr danych. </w:t>
            </w:r>
          </w:p>
        </w:tc>
        <w:tc>
          <w:tcPr>
            <w:tcW w:w="4111" w:type="dxa"/>
          </w:tcPr>
          <w:p w:rsidR="00AB2C6A" w:rsidRPr="00775F0C" w:rsidRDefault="004C5DF2" w:rsidP="00AB2C6A">
            <w:pPr>
              <w:spacing w:after="40" w:line="240" w:lineRule="auto"/>
              <w:jc w:val="left"/>
              <w:rPr>
                <w:rFonts w:cs="Times New Roman"/>
                <w:i/>
                <w:sz w:val="21"/>
                <w:szCs w:val="21"/>
              </w:rPr>
            </w:pPr>
            <w:r w:rsidRPr="004C5DF2">
              <w:rPr>
                <w:rFonts w:cs="Times New Roman"/>
                <w:sz w:val="21"/>
                <w:szCs w:val="21"/>
              </w:rPr>
              <w:t xml:space="preserve">W roku 2019 ewaluacja interim, </w:t>
            </w:r>
            <w:r>
              <w:rPr>
                <w:rFonts w:cs="Times New Roman"/>
                <w:sz w:val="21"/>
                <w:szCs w:val="21"/>
              </w:rPr>
              <w:br/>
            </w:r>
            <w:r w:rsidRPr="004C5DF2">
              <w:rPr>
                <w:rFonts w:cs="Times New Roman"/>
                <w:sz w:val="21"/>
                <w:szCs w:val="21"/>
              </w:rPr>
              <w:t>w roku 2023 ewaluacja ex-post.</w:t>
            </w:r>
          </w:p>
        </w:tc>
        <w:tc>
          <w:tcPr>
            <w:tcW w:w="4110" w:type="dxa"/>
          </w:tcPr>
          <w:p w:rsidR="00AB2C6A" w:rsidRPr="00775F0C" w:rsidRDefault="00AB2C6A" w:rsidP="007E1AC1">
            <w:pPr>
              <w:spacing w:after="40" w:line="240" w:lineRule="auto"/>
              <w:jc w:val="left"/>
              <w:rPr>
                <w:rFonts w:cs="Times New Roman"/>
                <w:i/>
                <w:sz w:val="21"/>
                <w:szCs w:val="21"/>
              </w:rPr>
            </w:pPr>
            <w:r w:rsidRPr="00775F0C">
              <w:rPr>
                <w:rFonts w:cs="Times New Roman"/>
                <w:sz w:val="21"/>
                <w:szCs w:val="21"/>
              </w:rPr>
              <w:t>Ocena zgodności i wysokości wydatkowania środków finansowych z przyznanego budżetu na poszczególne zadania.</w:t>
            </w:r>
          </w:p>
        </w:tc>
      </w:tr>
    </w:tbl>
    <w:p w:rsidR="003915D5" w:rsidRDefault="003915D5" w:rsidP="007E1AC1"/>
    <w:sectPr w:rsidR="003915D5" w:rsidSect="007E1AC1">
      <w:pgSz w:w="16838" w:h="11906" w:orient="landscape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96D43"/>
    <w:multiLevelType w:val="hybridMultilevel"/>
    <w:tmpl w:val="28D011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7B1FB7"/>
    <w:multiLevelType w:val="multilevel"/>
    <w:tmpl w:val="2B8031C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theme="majorBidi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cs="Times New Roman" w:hint="default"/>
      </w:rPr>
    </w:lvl>
  </w:abstractNum>
  <w:abstractNum w:abstractNumId="2" w15:restartNumberingAfterBreak="0">
    <w:nsid w:val="5AAD7231"/>
    <w:multiLevelType w:val="hybridMultilevel"/>
    <w:tmpl w:val="00E23206"/>
    <w:lvl w:ilvl="0" w:tplc="C34019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5D5"/>
    <w:rsid w:val="00021D59"/>
    <w:rsid w:val="00051AB2"/>
    <w:rsid w:val="000F70FE"/>
    <w:rsid w:val="0018636E"/>
    <w:rsid w:val="00325D1A"/>
    <w:rsid w:val="003318C9"/>
    <w:rsid w:val="00345EBD"/>
    <w:rsid w:val="003915D5"/>
    <w:rsid w:val="003C78A1"/>
    <w:rsid w:val="004C5DF2"/>
    <w:rsid w:val="004F4C46"/>
    <w:rsid w:val="00653FF1"/>
    <w:rsid w:val="006A06DB"/>
    <w:rsid w:val="006F7DD8"/>
    <w:rsid w:val="00775F0C"/>
    <w:rsid w:val="007D4D2F"/>
    <w:rsid w:val="007E1AC1"/>
    <w:rsid w:val="008009A6"/>
    <w:rsid w:val="00813FA8"/>
    <w:rsid w:val="00871D29"/>
    <w:rsid w:val="008E7DE5"/>
    <w:rsid w:val="009C5D9D"/>
    <w:rsid w:val="00A05620"/>
    <w:rsid w:val="00A11E44"/>
    <w:rsid w:val="00AB2C6A"/>
    <w:rsid w:val="00AD668B"/>
    <w:rsid w:val="00AE7CDB"/>
    <w:rsid w:val="00B13B6A"/>
    <w:rsid w:val="00B43998"/>
    <w:rsid w:val="00CA4A0E"/>
    <w:rsid w:val="00DC2F73"/>
    <w:rsid w:val="00DC3991"/>
    <w:rsid w:val="00F01C4B"/>
    <w:rsid w:val="00F34DE2"/>
    <w:rsid w:val="00F46890"/>
    <w:rsid w:val="00F779B3"/>
    <w:rsid w:val="00F875B8"/>
    <w:rsid w:val="00FB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E3FA7D-9606-498E-87C2-01E95E8E9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15D5"/>
    <w:pPr>
      <w:spacing w:after="0" w:line="360" w:lineRule="auto"/>
      <w:jc w:val="both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E7CDB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345EBD"/>
    <w:pPr>
      <w:keepNext/>
      <w:keepLines/>
      <w:spacing w:after="100" w:afterAutospacing="1" w:line="276" w:lineRule="auto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345EBD"/>
    <w:pPr>
      <w:keepNext/>
      <w:spacing w:before="240" w:after="60" w:line="276" w:lineRule="auto"/>
      <w:jc w:val="left"/>
      <w:outlineLvl w:val="2"/>
    </w:pPr>
    <w:rPr>
      <w:rFonts w:eastAsiaTheme="majorEastAsia" w:cstheme="majorBidi"/>
      <w:b/>
      <w:bCs/>
      <w:sz w:val="22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45EBD"/>
    <w:rPr>
      <w:rFonts w:ascii="Times New Roman" w:eastAsiaTheme="majorEastAsia" w:hAnsi="Times New Roman" w:cstheme="majorBidi"/>
      <w:b/>
      <w:bCs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E7CDB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345EBD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Legenda">
    <w:name w:val="caption"/>
    <w:basedOn w:val="Normalny"/>
    <w:next w:val="Normalny"/>
    <w:autoRedefine/>
    <w:uiPriority w:val="35"/>
    <w:unhideWhenUsed/>
    <w:qFormat/>
    <w:rsid w:val="004F4C46"/>
    <w:pPr>
      <w:keepNext/>
      <w:spacing w:line="240" w:lineRule="auto"/>
      <w:jc w:val="center"/>
    </w:pPr>
    <w:rPr>
      <w:b/>
      <w:iCs/>
      <w:sz w:val="22"/>
    </w:rPr>
  </w:style>
  <w:style w:type="paragraph" w:customStyle="1" w:styleId="rdo">
    <w:name w:val="Żródło"/>
    <w:basedOn w:val="Nagwek2"/>
    <w:link w:val="rdoZnak"/>
    <w:autoRedefine/>
    <w:qFormat/>
    <w:rsid w:val="00813FA8"/>
    <w:pPr>
      <w:spacing w:before="120" w:line="240" w:lineRule="auto"/>
      <w:jc w:val="center"/>
    </w:pPr>
    <w:rPr>
      <w:b w:val="0"/>
      <w:bCs w:val="0"/>
      <w:i/>
      <w:sz w:val="20"/>
      <w:szCs w:val="20"/>
    </w:rPr>
  </w:style>
  <w:style w:type="character" w:customStyle="1" w:styleId="rdoZnak">
    <w:name w:val="Żródło Znak"/>
    <w:basedOn w:val="Nagwek2Znak"/>
    <w:link w:val="rdo"/>
    <w:rsid w:val="00813FA8"/>
    <w:rPr>
      <w:rFonts w:ascii="Times New Roman" w:eastAsiaTheme="majorEastAsia" w:hAnsi="Times New Roman" w:cstheme="majorBidi"/>
      <w:b w:val="0"/>
      <w:bCs w:val="0"/>
      <w:i/>
      <w:iCs w:val="0"/>
      <w:sz w:val="20"/>
      <w:szCs w:val="20"/>
    </w:rPr>
  </w:style>
  <w:style w:type="paragraph" w:styleId="Tytu">
    <w:name w:val="Title"/>
    <w:aliases w:val="nagłówek 3"/>
    <w:basedOn w:val="Normalny"/>
    <w:next w:val="Normalny"/>
    <w:link w:val="TytuZnak"/>
    <w:autoRedefine/>
    <w:uiPriority w:val="10"/>
    <w:qFormat/>
    <w:rsid w:val="00F01C4B"/>
    <w:pPr>
      <w:spacing w:before="240" w:after="60" w:line="276" w:lineRule="auto"/>
      <w:jc w:val="center"/>
      <w:outlineLvl w:val="0"/>
    </w:pPr>
    <w:rPr>
      <w:rFonts w:eastAsiaTheme="majorEastAsia" w:cstheme="majorBidi"/>
      <w:b/>
      <w:bCs/>
      <w:kern w:val="28"/>
      <w:sz w:val="22"/>
      <w:szCs w:val="32"/>
    </w:rPr>
  </w:style>
  <w:style w:type="character" w:customStyle="1" w:styleId="TytuZnak">
    <w:name w:val="Tytuł Znak"/>
    <w:aliases w:val="nagłówek 3 Znak"/>
    <w:basedOn w:val="Domylnaczcionkaakapitu"/>
    <w:link w:val="Tytu"/>
    <w:uiPriority w:val="10"/>
    <w:rsid w:val="00F01C4B"/>
    <w:rPr>
      <w:rFonts w:ascii="Times New Roman" w:eastAsiaTheme="majorEastAsia" w:hAnsi="Times New Roman" w:cstheme="majorBidi"/>
      <w:b/>
      <w:bCs/>
      <w:kern w:val="28"/>
      <w:sz w:val="24"/>
      <w:szCs w:val="32"/>
    </w:rPr>
  </w:style>
  <w:style w:type="table" w:styleId="Tabela-Siatka">
    <w:name w:val="Table Grid"/>
    <w:basedOn w:val="Standardowy"/>
    <w:uiPriority w:val="59"/>
    <w:rsid w:val="003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915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20809-A319-4BF7-B6CC-8FC46D071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460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Kaleta</dc:creator>
  <cp:keywords/>
  <dc:description/>
  <cp:lastModifiedBy>Emilia Kaleta</cp:lastModifiedBy>
  <cp:revision>7</cp:revision>
  <dcterms:created xsi:type="dcterms:W3CDTF">2015-11-04T12:37:00Z</dcterms:created>
  <dcterms:modified xsi:type="dcterms:W3CDTF">2015-12-04T10:31:00Z</dcterms:modified>
</cp:coreProperties>
</file>